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83" w:rsidRDefault="002B4883" w:rsidP="002B48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12529"/>
          <w:sz w:val="28"/>
        </w:rPr>
      </w:pPr>
      <w:r w:rsidRPr="002B4883">
        <w:rPr>
          <w:b/>
          <w:color w:val="212529"/>
          <w:sz w:val="28"/>
        </w:rPr>
        <w:t xml:space="preserve">ДЛЯ </w:t>
      </w:r>
      <w:r>
        <w:rPr>
          <w:b/>
          <w:color w:val="212529"/>
          <w:sz w:val="28"/>
        </w:rPr>
        <w:t>РАБОТАЮЩИХ:</w:t>
      </w:r>
    </w:p>
    <w:p w:rsidR="002B4883" w:rsidRPr="002B4883" w:rsidRDefault="002B4883" w:rsidP="002B48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12529"/>
          <w:sz w:val="28"/>
        </w:rPr>
      </w:pPr>
      <w:r w:rsidRPr="002B4883">
        <w:rPr>
          <w:b/>
          <w:color w:val="212529"/>
          <w:sz w:val="28"/>
        </w:rPr>
        <w:t xml:space="preserve">Гражданин имеет право представить в комиссию следующие документы: </w:t>
      </w:r>
    </w:p>
    <w:p w:rsidR="002B4883" w:rsidRDefault="002B4883" w:rsidP="002B4883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212529"/>
          <w:sz w:val="28"/>
        </w:rPr>
      </w:pPr>
      <w:r w:rsidRPr="002B4883">
        <w:rPr>
          <w:color w:val="212529"/>
          <w:sz w:val="28"/>
        </w:rPr>
        <w:t xml:space="preserve">договор (контракт) </w:t>
      </w:r>
      <w:r>
        <w:rPr>
          <w:color w:val="212529"/>
          <w:sz w:val="28"/>
        </w:rPr>
        <w:t xml:space="preserve">с иностранным нанимателем; </w:t>
      </w:r>
    </w:p>
    <w:p w:rsidR="002B4883" w:rsidRDefault="002B4883" w:rsidP="002B4883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212529"/>
          <w:sz w:val="28"/>
        </w:rPr>
      </w:pPr>
      <w:r w:rsidRPr="002B4883">
        <w:rPr>
          <w:color w:val="212529"/>
          <w:sz w:val="28"/>
        </w:rPr>
        <w:t xml:space="preserve">иные документы, подтверждающие факт занятости (копия свидетельства, разрешения на осуществление адвокатской и нотариальной деятельности; копия трудовой книжки; справка (письмо) с места работы; справка о доходах и иные документы, </w:t>
      </w:r>
      <w:r>
        <w:rPr>
          <w:color w:val="212529"/>
          <w:sz w:val="28"/>
        </w:rPr>
        <w:t>п</w:t>
      </w:r>
      <w:r w:rsidRPr="002B4883">
        <w:rPr>
          <w:color w:val="212529"/>
          <w:sz w:val="28"/>
        </w:rPr>
        <w:t>одтверждающие факт работы за границей)</w:t>
      </w:r>
      <w:r>
        <w:rPr>
          <w:color w:val="212529"/>
          <w:sz w:val="28"/>
        </w:rPr>
        <w:t>.</w:t>
      </w:r>
    </w:p>
    <w:p w:rsidR="002B4883" w:rsidRDefault="002B4883" w:rsidP="002B48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12529"/>
          <w:sz w:val="28"/>
        </w:rPr>
      </w:pPr>
      <w:r w:rsidRPr="002B4883">
        <w:rPr>
          <w:b/>
          <w:color w:val="212529"/>
          <w:sz w:val="28"/>
        </w:rPr>
        <w:t>ДЛЯ ОБУЧАЮЩИХСЯ (на дневной форме получения образования):</w:t>
      </w:r>
    </w:p>
    <w:p w:rsidR="002B4883" w:rsidRPr="002B4883" w:rsidRDefault="002B4883" w:rsidP="002B48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12529"/>
          <w:sz w:val="28"/>
        </w:rPr>
      </w:pPr>
      <w:r w:rsidRPr="002B4883">
        <w:rPr>
          <w:b/>
          <w:color w:val="212529"/>
          <w:sz w:val="28"/>
        </w:rPr>
        <w:t xml:space="preserve">Гражданин имеет право представить в комиссию следующие документы: </w:t>
      </w:r>
    </w:p>
    <w:p w:rsidR="002B4883" w:rsidRDefault="002B4883" w:rsidP="002B4883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212529"/>
          <w:sz w:val="28"/>
        </w:rPr>
      </w:pPr>
      <w:bookmarkStart w:id="0" w:name="_GoBack"/>
      <w:bookmarkEnd w:id="0"/>
      <w:r w:rsidRPr="002B4883">
        <w:rPr>
          <w:color w:val="212529"/>
          <w:sz w:val="28"/>
        </w:rPr>
        <w:t>сп</w:t>
      </w:r>
      <w:r>
        <w:rPr>
          <w:color w:val="212529"/>
          <w:sz w:val="28"/>
        </w:rPr>
        <w:t xml:space="preserve">равка из учреждения образования; </w:t>
      </w:r>
    </w:p>
    <w:p w:rsidR="002B4883" w:rsidRPr="002B4883" w:rsidRDefault="002B4883" w:rsidP="007A3091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212529"/>
          <w:sz w:val="28"/>
        </w:rPr>
      </w:pPr>
      <w:r w:rsidRPr="002B4883">
        <w:rPr>
          <w:color w:val="212529"/>
          <w:sz w:val="28"/>
        </w:rPr>
        <w:t>договор на оказание образовательных услуг, иные документы, подтверждающие факт обучения</w:t>
      </w:r>
      <w:r w:rsidRPr="002B4883">
        <w:rPr>
          <w:color w:val="212529"/>
          <w:sz w:val="28"/>
        </w:rPr>
        <w:t>.</w:t>
      </w:r>
    </w:p>
    <w:p w:rsidR="002B4883" w:rsidRDefault="002B4883" w:rsidP="002B4883">
      <w:pPr>
        <w:pStyle w:val="a3"/>
        <w:shd w:val="clear" w:color="auto" w:fill="FFFFFF"/>
        <w:spacing w:before="0" w:beforeAutospacing="0"/>
        <w:ind w:firstLine="567"/>
        <w:jc w:val="both"/>
        <w:rPr>
          <w:color w:val="212529"/>
          <w:sz w:val="28"/>
        </w:rPr>
      </w:pPr>
    </w:p>
    <w:p w:rsidR="002B4883" w:rsidRDefault="002B4883" w:rsidP="002B4883">
      <w:pPr>
        <w:pStyle w:val="a3"/>
        <w:shd w:val="clear" w:color="auto" w:fill="FFFFFF"/>
        <w:spacing w:before="0" w:beforeAutospacing="0"/>
        <w:ind w:firstLine="567"/>
        <w:jc w:val="both"/>
        <w:rPr>
          <w:b/>
          <w:color w:val="212529"/>
          <w:sz w:val="28"/>
        </w:rPr>
      </w:pPr>
      <w:r>
        <w:rPr>
          <w:color w:val="212529"/>
          <w:sz w:val="28"/>
        </w:rPr>
        <w:t>ВНИМАНИЕ!!!</w:t>
      </w:r>
      <w:r w:rsidRPr="002B4883">
        <w:rPr>
          <w:color w:val="212529"/>
          <w:sz w:val="28"/>
        </w:rPr>
        <w:t xml:space="preserve"> </w:t>
      </w:r>
      <w:r>
        <w:rPr>
          <w:color w:val="212529"/>
          <w:sz w:val="28"/>
        </w:rPr>
        <w:t>Д</w:t>
      </w:r>
      <w:r w:rsidRPr="002B4883">
        <w:rPr>
          <w:b/>
          <w:color w:val="212529"/>
          <w:sz w:val="28"/>
        </w:rPr>
        <w:t>окументы должны быть представлены с официальным переводом на русский или белорусский язык (</w:t>
      </w:r>
      <w:proofErr w:type="spellStart"/>
      <w:r w:rsidRPr="002B4883">
        <w:rPr>
          <w:b/>
          <w:color w:val="212529"/>
          <w:sz w:val="28"/>
        </w:rPr>
        <w:t>апостиль</w:t>
      </w:r>
      <w:proofErr w:type="spellEnd"/>
      <w:r w:rsidRPr="002B4883">
        <w:rPr>
          <w:b/>
          <w:color w:val="212529"/>
          <w:sz w:val="28"/>
        </w:rPr>
        <w:t xml:space="preserve"> (для стран, подписавших Гаагскую конвенцию) или консульская легализация)</w:t>
      </w:r>
      <w:r>
        <w:rPr>
          <w:b/>
          <w:color w:val="212529"/>
          <w:sz w:val="28"/>
        </w:rPr>
        <w:t>.</w:t>
      </w:r>
    </w:p>
    <w:p w:rsidR="002B4883" w:rsidRDefault="002B4883" w:rsidP="002B4883">
      <w:pPr>
        <w:pStyle w:val="a3"/>
        <w:shd w:val="clear" w:color="auto" w:fill="FFFFFF"/>
        <w:spacing w:before="0" w:beforeAutospacing="0"/>
        <w:ind w:firstLine="567"/>
        <w:jc w:val="both"/>
        <w:rPr>
          <w:b/>
          <w:color w:val="212529"/>
          <w:sz w:val="28"/>
        </w:rPr>
      </w:pPr>
    </w:p>
    <w:p w:rsidR="002B4883" w:rsidRDefault="002B4883" w:rsidP="002B4883">
      <w:pPr>
        <w:pStyle w:val="a3"/>
        <w:shd w:val="clear" w:color="auto" w:fill="FFFFFF"/>
        <w:spacing w:before="0" w:beforeAutospacing="0"/>
        <w:ind w:left="927"/>
        <w:jc w:val="both"/>
        <w:rPr>
          <w:b/>
          <w:color w:val="212529"/>
          <w:sz w:val="28"/>
        </w:rPr>
      </w:pPr>
    </w:p>
    <w:p w:rsidR="002B4883" w:rsidRPr="002B4883" w:rsidRDefault="002B4883" w:rsidP="002B4883">
      <w:pPr>
        <w:pStyle w:val="a3"/>
        <w:shd w:val="clear" w:color="auto" w:fill="FFFFFF"/>
        <w:spacing w:before="0" w:beforeAutospacing="0"/>
        <w:ind w:firstLine="927"/>
        <w:jc w:val="both"/>
        <w:rPr>
          <w:b/>
          <w:color w:val="212529"/>
          <w:sz w:val="28"/>
        </w:rPr>
      </w:pPr>
    </w:p>
    <w:p w:rsidR="002B4883" w:rsidRDefault="002B4883" w:rsidP="002B4883">
      <w:pPr>
        <w:spacing w:after="0" w:line="360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222222"/>
          <w:sz w:val="40"/>
          <w:szCs w:val="30"/>
          <w:lang w:eastAsia="ru-RU"/>
        </w:rPr>
      </w:pPr>
    </w:p>
    <w:p w:rsidR="002B4883" w:rsidRDefault="002B4883" w:rsidP="002B4883">
      <w:pPr>
        <w:spacing w:after="0" w:line="360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222222"/>
          <w:sz w:val="40"/>
          <w:szCs w:val="30"/>
          <w:lang w:eastAsia="ru-RU"/>
        </w:rPr>
      </w:pPr>
    </w:p>
    <w:p w:rsidR="002B4883" w:rsidRDefault="002B4883" w:rsidP="002B4883">
      <w:pPr>
        <w:spacing w:after="0" w:line="360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222222"/>
          <w:sz w:val="40"/>
          <w:szCs w:val="30"/>
          <w:lang w:eastAsia="ru-RU"/>
        </w:rPr>
      </w:pPr>
    </w:p>
    <w:p w:rsidR="002B4883" w:rsidRDefault="002B4883" w:rsidP="002B4883">
      <w:pPr>
        <w:spacing w:after="0" w:line="360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222222"/>
          <w:sz w:val="40"/>
          <w:szCs w:val="30"/>
          <w:lang w:eastAsia="ru-RU"/>
        </w:rPr>
      </w:pPr>
    </w:p>
    <w:sectPr w:rsidR="002B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50615"/>
    <w:multiLevelType w:val="hybridMultilevel"/>
    <w:tmpl w:val="E6ECB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CE023F1"/>
    <w:multiLevelType w:val="hybridMultilevel"/>
    <w:tmpl w:val="1A9E6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D9"/>
    <w:rsid w:val="000F484A"/>
    <w:rsid w:val="002B4883"/>
    <w:rsid w:val="006461D9"/>
    <w:rsid w:val="007C32F6"/>
    <w:rsid w:val="008C4600"/>
    <w:rsid w:val="00D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319"/>
  <w15:chartTrackingRefBased/>
  <w15:docId w15:val="{E6A23601-22C3-4253-A826-8DD69371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занятости РИК</cp:lastModifiedBy>
  <cp:revision>2</cp:revision>
  <dcterms:created xsi:type="dcterms:W3CDTF">2020-02-05T12:15:00Z</dcterms:created>
  <dcterms:modified xsi:type="dcterms:W3CDTF">2020-02-05T12:15:00Z</dcterms:modified>
</cp:coreProperties>
</file>