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306485">
        <w:rPr>
          <w:rFonts w:ascii="Times New Roman" w:hAnsi="Times New Roman" w:cs="Times New Roman"/>
          <w:sz w:val="30"/>
          <w:szCs w:val="30"/>
        </w:rPr>
        <w:t xml:space="preserve">разработаны в соответствии с требованиями </w:t>
      </w:r>
      <w:r w:rsidR="00C07705">
        <w:rPr>
          <w:rFonts w:ascii="Times New Roman" w:hAnsi="Times New Roman" w:cs="Times New Roman"/>
          <w:b/>
          <w:sz w:val="30"/>
          <w:szCs w:val="30"/>
        </w:rPr>
        <w:t>Генеральной прокуратур</w:t>
      </w:r>
      <w:r w:rsidR="00306485">
        <w:rPr>
          <w:rFonts w:ascii="Times New Roman" w:hAnsi="Times New Roman" w:cs="Times New Roman"/>
          <w:b/>
          <w:sz w:val="30"/>
          <w:szCs w:val="30"/>
        </w:rPr>
        <w:t>ы</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306485">
        <w:rPr>
          <w:rFonts w:ascii="Times New Roman" w:hAnsi="Times New Roman" w:cs="Times New Roman"/>
          <w:sz w:val="30"/>
          <w:szCs w:val="30"/>
        </w:rPr>
        <w:t xml:space="preserve"> М</w:t>
      </w:r>
      <w:r w:rsidR="00DA2681" w:rsidRPr="009214BF">
        <w:rPr>
          <w:rFonts w:ascii="Times New Roman" w:hAnsi="Times New Roman" w:cs="Times New Roman"/>
          <w:sz w:val="30"/>
          <w:szCs w:val="30"/>
        </w:rPr>
        <w:t>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w:t>
      </w:r>
      <w:r w:rsidR="00306485">
        <w:rPr>
          <w:rFonts w:ascii="Times New Roman" w:hAnsi="Times New Roman" w:cs="Times New Roman"/>
          <w:sz w:val="30"/>
          <w:szCs w:val="30"/>
        </w:rPr>
        <w:t xml:space="preserve"> Витебского района</w:t>
      </w:r>
      <w:r w:rsidR="00DA2681" w:rsidRPr="009214BF">
        <w:rPr>
          <w:rFonts w:ascii="Times New Roman" w:hAnsi="Times New Roman" w:cs="Times New Roman"/>
          <w:sz w:val="30"/>
          <w:szCs w:val="30"/>
        </w:rPr>
        <w:t xml:space="preserve">.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w:t>
      </w:r>
      <w:proofErr w:type="gramStart"/>
      <w:r w:rsidR="004C7A18">
        <w:rPr>
          <w:rFonts w:ascii="Times New Roman" w:hAnsi="Times New Roman" w:cs="Times New Roman"/>
          <w:sz w:val="30"/>
          <w:szCs w:val="30"/>
        </w:rPr>
        <w:t>предусмотренным</w:t>
      </w:r>
      <w:proofErr w:type="gramEnd"/>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 xml:space="preserve">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w:t>
      </w:r>
      <w:r w:rsidRPr="009214BF">
        <w:rPr>
          <w:rFonts w:ascii="Times New Roman" w:hAnsi="Times New Roman" w:cs="Times New Roman"/>
          <w:sz w:val="30"/>
          <w:szCs w:val="30"/>
        </w:rPr>
        <w:lastRenderedPageBreak/>
        <w:t>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w:t>
      </w:r>
      <w:r w:rsidR="00B427FA">
        <w:rPr>
          <w:rFonts w:ascii="Times New Roman" w:hAnsi="Times New Roman" w:cs="Times New Roman"/>
          <w:sz w:val="30"/>
          <w:szCs w:val="30"/>
        </w:rPr>
        <w:t xml:space="preserve"> от </w:t>
      </w:r>
      <w:r w:rsidR="00B427FA" w:rsidRPr="00B427FA">
        <w:rPr>
          <w:rFonts w:ascii="Times New Roman" w:hAnsi="Times New Roman" w:cs="Times New Roman"/>
          <w:sz w:val="30"/>
          <w:szCs w:val="30"/>
        </w:rPr>
        <w:t>1 июня 2022 г. № 175-З</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lastRenderedPageBreak/>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 xml:space="preserve">государственные органы и иные организации участвуют </w:t>
      </w:r>
      <w:proofErr w:type="gramStart"/>
      <w:r>
        <w:rPr>
          <w:rFonts w:ascii="Times New Roman" w:hAnsi="Times New Roman" w:cs="Times New Roman"/>
          <w:sz w:val="30"/>
          <w:szCs w:val="30"/>
        </w:rPr>
        <w:t>в борьбе с коррупцией в пределах своей компетенции в соответствии с актами</w:t>
      </w:r>
      <w:proofErr w:type="gramEnd"/>
      <w:r>
        <w:rPr>
          <w:rFonts w:ascii="Times New Roman" w:hAnsi="Times New Roman" w:cs="Times New Roman"/>
          <w:sz w:val="30"/>
          <w:szCs w:val="30"/>
        </w:rPr>
        <w:t xml:space="preserve">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w:t>
      </w:r>
      <w:proofErr w:type="gramStart"/>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proofErr w:type="gramEnd"/>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lastRenderedPageBreak/>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w:t>
      </w:r>
      <w:r w:rsidRPr="00A96C74">
        <w:rPr>
          <w:rFonts w:ascii="Times New Roman" w:hAnsi="Times New Roman" w:cs="Times New Roman"/>
          <w:sz w:val="30"/>
          <w:szCs w:val="30"/>
        </w:rPr>
        <w:lastRenderedPageBreak/>
        <w:t xml:space="preserve">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w:t>
      </w:r>
      <w:proofErr w:type="gramStart"/>
      <w:r w:rsidR="00CE1DBA">
        <w:rPr>
          <w:rFonts w:ascii="Times New Roman" w:hAnsi="Times New Roman" w:cs="Times New Roman"/>
          <w:sz w:val="30"/>
          <w:szCs w:val="30"/>
        </w:rPr>
        <w:t>при</w:t>
      </w:r>
      <w:proofErr w:type="gramEnd"/>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проведении</w:t>
      </w:r>
      <w:proofErr w:type="gramEnd"/>
      <w:r>
        <w:rPr>
          <w:rFonts w:ascii="Times New Roman" w:hAnsi="Times New Roman" w:cs="Times New Roman"/>
          <w:sz w:val="30"/>
          <w:szCs w:val="30"/>
        </w:rPr>
        <w:t xml:space="preserve">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ведении</w:t>
      </w:r>
      <w:proofErr w:type="gramEnd"/>
      <w:r>
        <w:rPr>
          <w:rFonts w:ascii="Times New Roman" w:hAnsi="Times New Roman" w:cs="Times New Roman"/>
          <w:sz w:val="30"/>
          <w:szCs w:val="30"/>
        </w:rPr>
        <w:t xml:space="preserve">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работников, которые в рамках осуществления уязвимых для коррупции функций и операций могут быть вовлечены в коррупционные </w:t>
      </w:r>
      <w:r w:rsidRPr="00436B95">
        <w:rPr>
          <w:rFonts w:ascii="Times New Roman" w:hAnsi="Times New Roman" w:cs="Times New Roman"/>
          <w:sz w:val="30"/>
          <w:szCs w:val="30"/>
        </w:rPr>
        <w:lastRenderedPageBreak/>
        <w:t>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E28F6" w:rsidRDefault="002E28F6" w:rsidP="00B71F4E">
      <w:pPr>
        <w:spacing w:after="0" w:line="240" w:lineRule="auto"/>
        <w:ind w:firstLine="709"/>
        <w:jc w:val="both"/>
        <w:rPr>
          <w:rFonts w:ascii="Times New Roman" w:hAnsi="Times New Roman" w:cs="Times New Roman"/>
          <w:sz w:val="30"/>
          <w:szCs w:val="30"/>
        </w:rPr>
      </w:pP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 xml:space="preserve">кадровой службой обязательств у государственных должностных лиц и </w:t>
      </w:r>
      <w:r w:rsidR="00B71F4E" w:rsidRPr="00B71F4E">
        <w:rPr>
          <w:rFonts w:ascii="Times New Roman" w:hAnsi="Times New Roman" w:cs="Times New Roman"/>
          <w:sz w:val="30"/>
          <w:szCs w:val="30"/>
        </w:rPr>
        <w:lastRenderedPageBreak/>
        <w:t>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 xml:space="preserve">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w:t>
      </w:r>
      <w:r w:rsidR="00DC40C5" w:rsidRPr="00DC40C5">
        <w:rPr>
          <w:rFonts w:ascii="Times New Roman" w:eastAsia="Calibri" w:hAnsi="Times New Roman" w:cs="Times New Roman"/>
          <w:sz w:val="30"/>
          <w:szCs w:val="30"/>
        </w:rPr>
        <w:lastRenderedPageBreak/>
        <w:t>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организации проверки полноты и </w:t>
      </w:r>
      <w:proofErr w:type="gramStart"/>
      <w:r w:rsidRPr="00FE2278">
        <w:rPr>
          <w:rFonts w:ascii="Times New Roman" w:eastAsia="Calibri" w:hAnsi="Times New Roman" w:cs="Times New Roman"/>
          <w:sz w:val="30"/>
          <w:szCs w:val="30"/>
        </w:rPr>
        <w:t>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 xml:space="preserve">при поступлении на государственную </w:t>
      </w:r>
      <w:r w:rsidR="002E28F6">
        <w:rPr>
          <w:rFonts w:ascii="Times New Roman" w:eastAsia="Calibri" w:hAnsi="Times New Roman" w:cs="Times New Roman"/>
          <w:sz w:val="30"/>
          <w:szCs w:val="30"/>
        </w:rPr>
        <w:t xml:space="preserve">гражданскую </w:t>
      </w:r>
      <w:r w:rsidRPr="00C95E10">
        <w:rPr>
          <w:rFonts w:ascii="Times New Roman" w:eastAsia="Calibri" w:hAnsi="Times New Roman" w:cs="Times New Roman"/>
          <w:sz w:val="30"/>
          <w:szCs w:val="30"/>
        </w:rPr>
        <w:t>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 xml:space="preserve">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w:t>
      </w:r>
      <w:r w:rsidR="002E28F6">
        <w:rPr>
          <w:rFonts w:ascii="Times New Roman" w:eastAsia="Calibri" w:hAnsi="Times New Roman" w:cs="Times New Roman"/>
          <w:sz w:val="30"/>
          <w:szCs w:val="30"/>
        </w:rPr>
        <w:t xml:space="preserve">гражданскую </w:t>
      </w:r>
      <w:r w:rsidRPr="00C95E10">
        <w:rPr>
          <w:rFonts w:ascii="Times New Roman" w:eastAsia="Calibri" w:hAnsi="Times New Roman" w:cs="Times New Roman"/>
          <w:sz w:val="30"/>
          <w:szCs w:val="30"/>
        </w:rPr>
        <w:t>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w:t>
      </w:r>
      <w:r w:rsidR="002E28F6">
        <w:rPr>
          <w:rFonts w:ascii="Times New Roman" w:eastAsia="Calibri" w:hAnsi="Times New Roman" w:cs="Times New Roman"/>
          <w:sz w:val="30"/>
          <w:szCs w:val="30"/>
        </w:rPr>
        <w:t xml:space="preserve">гражданскую </w:t>
      </w:r>
      <w:r w:rsidRPr="00EE229D">
        <w:rPr>
          <w:rFonts w:ascii="Times New Roman" w:eastAsia="Calibri" w:hAnsi="Times New Roman" w:cs="Times New Roman"/>
          <w:sz w:val="30"/>
          <w:szCs w:val="30"/>
        </w:rPr>
        <w:t xml:space="preserve">службу </w:t>
      </w:r>
      <w:r w:rsidRPr="00EE229D">
        <w:rPr>
          <w:rFonts w:ascii="Times New Roman" w:eastAsia="Calibri" w:hAnsi="Times New Roman" w:cs="Times New Roman"/>
          <w:sz w:val="30"/>
          <w:szCs w:val="30"/>
        </w:rPr>
        <w:lastRenderedPageBreak/>
        <w:t>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w:t>
      </w:r>
      <w:proofErr w:type="gramEnd"/>
      <w:r w:rsidR="00083940" w:rsidRPr="00083940">
        <w:rPr>
          <w:rFonts w:ascii="Times New Roman" w:eastAsia="Calibri" w:hAnsi="Times New Roman" w:cs="Times New Roman"/>
          <w:sz w:val="30"/>
          <w:szCs w:val="30"/>
        </w:rPr>
        <w:t xml:space="preserve">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gramStart"/>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w:t>
      </w:r>
      <w:proofErr w:type="gram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w:t>
      </w:r>
      <w:r w:rsidR="002E28F6">
        <w:rPr>
          <w:rFonts w:ascii="Times New Roman" w:eastAsia="Calibri" w:hAnsi="Times New Roman" w:cs="Times New Roman"/>
          <w:sz w:val="30"/>
          <w:szCs w:val="30"/>
        </w:rPr>
        <w:t>24.6</w:t>
      </w:r>
      <w:r>
        <w:rPr>
          <w:rFonts w:ascii="Times New Roman" w:eastAsia="Calibri" w:hAnsi="Times New Roman" w:cs="Times New Roman"/>
          <w:sz w:val="30"/>
          <w:szCs w:val="30"/>
        </w:rPr>
        <w:t xml:space="preserve"> КоАП.</w:t>
      </w:r>
    </w:p>
    <w:p w:rsidR="002E28F6" w:rsidRPr="002E28F6" w:rsidRDefault="008611A9" w:rsidP="00A2316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2E28F6">
        <w:rPr>
          <w:rFonts w:ascii="Times New Roman" w:eastAsia="Calibri" w:hAnsi="Times New Roman" w:cs="Times New Roman"/>
          <w:sz w:val="30"/>
          <w:szCs w:val="30"/>
        </w:rPr>
        <w:t>24.6</w:t>
      </w:r>
      <w:r w:rsidR="00C25D72" w:rsidRPr="00C25D72">
        <w:rPr>
          <w:rFonts w:ascii="Times New Roman" w:eastAsia="Calibri" w:hAnsi="Times New Roman" w:cs="Times New Roman"/>
          <w:sz w:val="30"/>
          <w:szCs w:val="30"/>
        </w:rPr>
        <w:t xml:space="preserve"> </w:t>
      </w:r>
      <w:r w:rsidRPr="008611A9">
        <w:rPr>
          <w:rFonts w:ascii="Times New Roman" w:eastAsia="Calibri" w:hAnsi="Times New Roman" w:cs="Times New Roman"/>
          <w:sz w:val="30"/>
          <w:szCs w:val="30"/>
        </w:rPr>
        <w:t>КоАП, указание в де</w:t>
      </w:r>
      <w:r w:rsidR="00A23162">
        <w:rPr>
          <w:rFonts w:ascii="Times New Roman" w:eastAsia="Calibri" w:hAnsi="Times New Roman" w:cs="Times New Roman"/>
          <w:sz w:val="30"/>
          <w:szCs w:val="30"/>
        </w:rPr>
        <w:t>кларации о доходах и имуществе:</w:t>
      </w:r>
    </w:p>
    <w:p w:rsidR="002E28F6" w:rsidRPr="002E28F6" w:rsidRDefault="002E28F6" w:rsidP="00A2316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2E28F6">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от общей суммы дохо</w:t>
      </w:r>
      <w:r w:rsidR="00A23162">
        <w:rPr>
          <w:rFonts w:ascii="Times New Roman" w:eastAsia="Calibri" w:hAnsi="Times New Roman" w:cs="Times New Roman"/>
          <w:sz w:val="30"/>
          <w:szCs w:val="30"/>
        </w:rPr>
        <w:t>дов, подлежащих декларированию;</w:t>
      </w:r>
    </w:p>
    <w:p w:rsidR="002E28F6" w:rsidRPr="002E28F6" w:rsidRDefault="002E28F6" w:rsidP="00A2316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2E28F6">
        <w:rPr>
          <w:rFonts w:ascii="Times New Roman" w:eastAsia="Calibri" w:hAnsi="Times New Roman" w:cs="Times New Roman"/>
          <w:sz w:val="30"/>
          <w:szCs w:val="30"/>
        </w:rPr>
        <w:t xml:space="preserve">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w:t>
      </w:r>
      <w:r w:rsidRPr="002E28F6">
        <w:rPr>
          <w:rFonts w:ascii="Times New Roman" w:eastAsia="Calibri" w:hAnsi="Times New Roman" w:cs="Times New Roman"/>
          <w:sz w:val="30"/>
          <w:szCs w:val="30"/>
        </w:rPr>
        <w:lastRenderedPageBreak/>
        <w:t>декларированию</w:t>
      </w:r>
      <w:r w:rsidR="00A23162">
        <w:rPr>
          <w:rFonts w:ascii="Times New Roman" w:eastAsia="Calibri" w:hAnsi="Times New Roman" w:cs="Times New Roman"/>
          <w:sz w:val="30"/>
          <w:szCs w:val="30"/>
        </w:rPr>
        <w:t>, не более чем на 20 процентов;</w:t>
      </w:r>
    </w:p>
    <w:p w:rsidR="002E28F6" w:rsidRPr="002E28F6" w:rsidRDefault="002E28F6" w:rsidP="00A2316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2E28F6">
        <w:rPr>
          <w:rFonts w:ascii="Times New Roman" w:eastAsia="Calibri" w:hAnsi="Times New Roman" w:cs="Times New Roman"/>
          <w:sz w:val="30"/>
          <w:szCs w:val="30"/>
        </w:rPr>
        <w:t>недостоверных сведений о дате приобретения имущества (доли в пра</w:t>
      </w:r>
      <w:r w:rsidR="00A23162">
        <w:rPr>
          <w:rFonts w:ascii="Times New Roman" w:eastAsia="Calibri" w:hAnsi="Times New Roman" w:cs="Times New Roman"/>
          <w:sz w:val="30"/>
          <w:szCs w:val="30"/>
        </w:rPr>
        <w:t>ве собственности на имущество);</w:t>
      </w:r>
    </w:p>
    <w:p w:rsidR="002E28F6" w:rsidRPr="002E28F6" w:rsidRDefault="002E28F6" w:rsidP="00A2316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2E28F6">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w:t>
      </w:r>
      <w:r w:rsidR="00A23162">
        <w:rPr>
          <w:rFonts w:ascii="Times New Roman" w:eastAsia="Calibri" w:hAnsi="Times New Roman" w:cs="Times New Roman"/>
          <w:sz w:val="30"/>
          <w:szCs w:val="30"/>
        </w:rPr>
        <w:t xml:space="preserve">ованных помещений, </w:t>
      </w:r>
      <w:proofErr w:type="spellStart"/>
      <w:r w:rsidR="00A23162">
        <w:rPr>
          <w:rFonts w:ascii="Times New Roman" w:eastAsia="Calibri" w:hAnsi="Times New Roman" w:cs="Times New Roman"/>
          <w:sz w:val="30"/>
          <w:szCs w:val="30"/>
        </w:rPr>
        <w:t>машино</w:t>
      </w:r>
      <w:proofErr w:type="spellEnd"/>
      <w:r w:rsidR="00A23162">
        <w:rPr>
          <w:rFonts w:ascii="Times New Roman" w:eastAsia="Calibri" w:hAnsi="Times New Roman" w:cs="Times New Roman"/>
          <w:sz w:val="30"/>
          <w:szCs w:val="30"/>
        </w:rPr>
        <w:t>-мест;</w:t>
      </w:r>
    </w:p>
    <w:p w:rsidR="002E28F6" w:rsidRPr="002E28F6" w:rsidRDefault="002E28F6" w:rsidP="00A2316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2E28F6">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w:t>
      </w:r>
      <w:r w:rsidR="00A23162">
        <w:rPr>
          <w:rFonts w:ascii="Times New Roman" w:eastAsia="Calibri" w:hAnsi="Times New Roman" w:cs="Times New Roman"/>
          <w:sz w:val="30"/>
          <w:szCs w:val="30"/>
        </w:rPr>
        <w:t>) не более чем на 20 процентов;</w:t>
      </w:r>
    </w:p>
    <w:p w:rsidR="00DB7F7B" w:rsidRDefault="002E28F6" w:rsidP="002E28F6">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2E28F6">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2E28F6">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w:t>
      </w:r>
      <w:proofErr w:type="gramEnd"/>
      <w:r w:rsidR="00AD2D3E">
        <w:rPr>
          <w:rFonts w:ascii="Times New Roman" w:hAnsi="Times New Roman" w:cs="Times New Roman"/>
          <w:sz w:val="30"/>
          <w:szCs w:val="30"/>
        </w:rPr>
        <w:t xml:space="preserve"> по службе (работе), </w:t>
      </w:r>
      <w:proofErr w:type="gramStart"/>
      <w:r w:rsidR="00AD2D3E">
        <w:rPr>
          <w:rFonts w:ascii="Times New Roman" w:hAnsi="Times New Roman" w:cs="Times New Roman"/>
          <w:sz w:val="30"/>
          <w:szCs w:val="30"/>
        </w:rPr>
        <w:t>которые</w:t>
      </w:r>
      <w:proofErr w:type="gramEnd"/>
      <w:r w:rsidR="00AD2D3E">
        <w:rPr>
          <w:rFonts w:ascii="Times New Roman" w:hAnsi="Times New Roman" w:cs="Times New Roman"/>
          <w:sz w:val="30"/>
          <w:szCs w:val="30"/>
        </w:rPr>
        <w:t xml:space="preserve">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 xml:space="preserve">оторых является лицо, с </w:t>
      </w:r>
      <w:r>
        <w:rPr>
          <w:rFonts w:ascii="Times New Roman" w:hAnsi="Times New Roman" w:cs="Times New Roman"/>
          <w:sz w:val="30"/>
          <w:szCs w:val="30"/>
        </w:rPr>
        <w:lastRenderedPageBreak/>
        <w:t>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613F3F">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 xml:space="preserve">следует отличать от других дисциплинарных </w:t>
      </w:r>
      <w:r w:rsidRPr="00FF3F00">
        <w:rPr>
          <w:rFonts w:ascii="Times New Roman" w:hAnsi="Times New Roman" w:cs="Times New Roman"/>
          <w:b/>
          <w:bCs/>
          <w:sz w:val="30"/>
          <w:szCs w:val="30"/>
        </w:rPr>
        <w:lastRenderedPageBreak/>
        <w:t>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w:t>
      </w:r>
      <w:r>
        <w:rPr>
          <w:rFonts w:ascii="Times New Roman" w:hAnsi="Times New Roman" w:cs="Times New Roman"/>
          <w:sz w:val="30"/>
          <w:szCs w:val="30"/>
        </w:rPr>
        <w:lastRenderedPageBreak/>
        <w:t>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0" w:name="Par0"/>
      <w:bookmarkEnd w:id="0"/>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 xml:space="preserve">Минска (города областного подчинения), на территории которого расположена эта организация либо ее соответствующее структурное </w:t>
      </w:r>
      <w:r>
        <w:rPr>
          <w:rFonts w:ascii="Times New Roman" w:hAnsi="Times New Roman" w:cs="Times New Roman"/>
          <w:sz w:val="30"/>
          <w:szCs w:val="30"/>
        </w:rPr>
        <w:lastRenderedPageBreak/>
        <w:t>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w:t>
      </w:r>
      <w:proofErr w:type="gramStart"/>
      <w:r w:rsidR="007A7367">
        <w:rPr>
          <w:rFonts w:ascii="Times New Roman" w:eastAsia="Times New Roman" w:hAnsi="Times New Roman" w:cs="Times New Roman"/>
          <w:sz w:val="30"/>
          <w:szCs w:val="30"/>
          <w:lang w:eastAsia="ru-RU"/>
        </w:rPr>
        <w:t>Возможно</w:t>
      </w:r>
      <w:proofErr w:type="gramEnd"/>
      <w:r w:rsidR="007A7367">
        <w:rPr>
          <w:rFonts w:ascii="Times New Roman" w:eastAsia="Times New Roman" w:hAnsi="Times New Roman" w:cs="Times New Roman"/>
          <w:sz w:val="30"/>
          <w:szCs w:val="30"/>
          <w:lang w:eastAsia="ru-RU"/>
        </w:rPr>
        <w:t xml:space="preserve">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lastRenderedPageBreak/>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w:t>
      </w:r>
      <w:proofErr w:type="gramStart"/>
      <w:r w:rsidR="006278D5" w:rsidRPr="006278D5">
        <w:rPr>
          <w:rFonts w:ascii="Times New Roman" w:eastAsia="Times New Roman" w:hAnsi="Times New Roman" w:cs="Times New Roman"/>
          <w:sz w:val="30"/>
          <w:szCs w:val="30"/>
          <w:lang w:eastAsia="ru-RU"/>
        </w:rPr>
        <w:t>ориентированная</w:t>
      </w:r>
      <w:proofErr w:type="gram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lastRenderedPageBreak/>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Механизм </w:t>
      </w:r>
      <w:proofErr w:type="gramStart"/>
      <w:r>
        <w:rPr>
          <w:rFonts w:ascii="Times New Roman" w:eastAsia="Times New Roman" w:hAnsi="Times New Roman" w:cs="Times New Roman"/>
          <w:sz w:val="30"/>
          <w:szCs w:val="30"/>
          <w:lang w:eastAsia="ru-RU"/>
        </w:rPr>
        <w:t>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proofErr w:type="gramEnd"/>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proofErr w:type="gramStart"/>
      <w:r w:rsidR="007214AA" w:rsidRPr="007214AA">
        <w:rPr>
          <w:rFonts w:ascii="Times New Roman" w:eastAsia="Times New Roman" w:hAnsi="Times New Roman" w:cs="Times New Roman"/>
          <w:b/>
          <w:sz w:val="30"/>
          <w:szCs w:val="30"/>
          <w:lang w:eastAsia="ru-RU"/>
        </w:rPr>
        <w:t>поощрительными</w:t>
      </w:r>
      <w:proofErr w:type="gramEnd"/>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w:t>
      </w:r>
      <w:r>
        <w:rPr>
          <w:rFonts w:ascii="Times New Roman" w:eastAsia="Times New Roman" w:hAnsi="Times New Roman" w:cs="Times New Roman"/>
          <w:sz w:val="30"/>
          <w:szCs w:val="30"/>
          <w:lang w:eastAsia="ru-RU"/>
        </w:rPr>
        <w:lastRenderedPageBreak/>
        <w:t xml:space="preserve">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bookmarkStart w:id="1" w:name="_GoBack"/>
      <w:bookmarkEnd w:id="1"/>
    </w:p>
    <w:sectPr w:rsidR="007214AA" w:rsidSect="00FE6132">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3F" w:rsidRDefault="00613F3F" w:rsidP="00E07DDF">
      <w:pPr>
        <w:spacing w:after="0" w:line="240" w:lineRule="auto"/>
      </w:pPr>
      <w:r>
        <w:separator/>
      </w:r>
    </w:p>
  </w:endnote>
  <w:endnote w:type="continuationSeparator" w:id="0">
    <w:p w:rsidR="00613F3F" w:rsidRDefault="00613F3F"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3F" w:rsidRDefault="00613F3F" w:rsidP="00E07DDF">
      <w:pPr>
        <w:spacing w:after="0" w:line="240" w:lineRule="auto"/>
      </w:pPr>
      <w:r>
        <w:separator/>
      </w:r>
    </w:p>
  </w:footnote>
  <w:footnote w:type="continuationSeparator" w:id="0">
    <w:p w:rsidR="00613F3F" w:rsidRDefault="00613F3F"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Content>
      <w:p w:rsidR="00613F3F" w:rsidRDefault="00613F3F">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D7837">
          <w:rPr>
            <w:rFonts w:ascii="Times New Roman" w:hAnsi="Times New Roman" w:cs="Times New Roman"/>
            <w:noProof/>
          </w:rPr>
          <w:t>2</w:t>
        </w:r>
        <w:r w:rsidRPr="00C835B7">
          <w:rPr>
            <w:rFonts w:ascii="Times New Roman" w:hAnsi="Times New Roman" w:cs="Times New Roman"/>
          </w:rPr>
          <w:fldChar w:fldCharType="end"/>
        </w:r>
      </w:p>
    </w:sdtContent>
  </w:sdt>
  <w:p w:rsidR="00613F3F" w:rsidRDefault="00613F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28F6"/>
    <w:rsid w:val="002E4908"/>
    <w:rsid w:val="002F0E9D"/>
    <w:rsid w:val="002F3459"/>
    <w:rsid w:val="002F363D"/>
    <w:rsid w:val="002F433F"/>
    <w:rsid w:val="002F43BE"/>
    <w:rsid w:val="002F60EF"/>
    <w:rsid w:val="002F675C"/>
    <w:rsid w:val="002F73DA"/>
    <w:rsid w:val="0030341F"/>
    <w:rsid w:val="00306485"/>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0DF3"/>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3F3F"/>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3162"/>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27FA"/>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D7837"/>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5097E"/>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E68C7"/>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208A-B84D-416B-948B-14C6D4CA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Урбан</cp:lastModifiedBy>
  <cp:revision>2</cp:revision>
  <cp:lastPrinted>2019-09-16T14:20:00Z</cp:lastPrinted>
  <dcterms:created xsi:type="dcterms:W3CDTF">2023-01-25T08:12:00Z</dcterms:created>
  <dcterms:modified xsi:type="dcterms:W3CDTF">2023-01-25T08:12:00Z</dcterms:modified>
</cp:coreProperties>
</file>