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162E">
        <w:rPr>
          <w:rFonts w:ascii="Times New Roman" w:hAnsi="Times New Roman" w:cs="Times New Roman"/>
          <w:sz w:val="28"/>
          <w:szCs w:val="28"/>
        </w:rPr>
        <w:t>К экстремистским материалам отнесена информационная продукция, предназначенная для публичного использования, публичного распространения либо распространенная любым способом, содержащая призывы к экстремистской деятельности, пропагандирующая такую деятельность и признанная экстремистскими материалами по решению суда.</w:t>
      </w:r>
    </w:p>
    <w:bookmarkEnd w:id="0"/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За распространение, а равно изготовление, издание, хранение и перевозку в целях распространения экстремистских материалов предусмотрена административная и уголовная ответственность.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Экстремистские действия обязательно должны быть публичными и направленными на пропаганду.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ст.361 УК «Призывы к действиям, направленным на причинение вреда национальной безопасности Республики Беларусь»,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ст.361-1 УК «Создание экстремистского формирования либо участие в нем»,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ст. 361-2 УК «Финансирование экстремистской деятельности»,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ст. 361-3 УК «Участие на территории иностранного государства в вооруженном формировании или вооруженном конфликте, военных действиях, вербовка либо подготовка лиц к такому участию»,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ст. 361-4 УК «Содействие экстремистской деятельности»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ст. 361-5 УК «Прохождение обучения или иной подготовки для участия в экстремистской деятельности».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возбуждении уголовного дела, начинается административный процесс, в соответствии ст. 19.11 КоАП Республики Беларусь -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деятельность. Данное статьей </w:t>
      </w:r>
      <w:proofErr w:type="gramStart"/>
      <w:r w:rsidRPr="00E7162E">
        <w:rPr>
          <w:rFonts w:ascii="Times New Roman" w:hAnsi="Times New Roman" w:cs="Times New Roman"/>
          <w:sz w:val="28"/>
          <w:szCs w:val="28"/>
        </w:rPr>
        <w:t>предусмотрена  ответственность</w:t>
      </w:r>
      <w:proofErr w:type="gramEnd"/>
      <w:r w:rsidRPr="00E7162E">
        <w:rPr>
          <w:rFonts w:ascii="Times New Roman" w:hAnsi="Times New Roman" w:cs="Times New Roman"/>
          <w:sz w:val="28"/>
          <w:szCs w:val="28"/>
        </w:rPr>
        <w:t xml:space="preserve"> в виде штрафа до 20-ти базовых величин</w:t>
      </w:r>
    </w:p>
    <w:p w:rsidR="00E7162E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>Необходимо знать об ответственности за хранение фото и видеоматериалов с нацистской символикой или атрибутикой в открытом доступе на страницах в социальных сетях, о чем говорится в ст.19.10 КоАП Республики Беларусь, в отношении физического лица предусмотрен штраф до 10 базовых величин, или общественные работы, или административный арест с конфискацией орудий и средств административного правонарушения либо без конфискации.</w:t>
      </w:r>
    </w:p>
    <w:p w:rsidR="00050AEA" w:rsidRPr="00E7162E" w:rsidRDefault="00E7162E" w:rsidP="00E716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62E">
        <w:rPr>
          <w:rFonts w:ascii="Times New Roman" w:hAnsi="Times New Roman" w:cs="Times New Roman"/>
          <w:sz w:val="28"/>
          <w:szCs w:val="28"/>
        </w:rPr>
        <w:t xml:space="preserve">Кроме того, за участие иностранного лица в экстремистской деятельности или причинение им тяжкого вреда интересам Республики Беларусь является </w:t>
      </w:r>
      <w:r w:rsidRPr="00E7162E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рассмотрения материалов по утрате гражданства Республики Беларусь в соответствии с частью второй статьи 19 Закона Республики Беларусь от 01.08.2002 г. № 136-З (в ред. Закона Республики Беларусь от 10.12.2020 г. № 67-З) «О гражданстве Республики Беларусь»</w:t>
      </w:r>
    </w:p>
    <w:sectPr w:rsidR="00050AEA" w:rsidRPr="00E7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2E"/>
    <w:rsid w:val="00050AEA"/>
    <w:rsid w:val="00E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41712-2F88-46CA-876F-FB2E3FE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MediaSMART</dc:creator>
  <cp:keywords/>
  <dc:description/>
  <cp:lastModifiedBy>MediaSMART</cp:lastModifiedBy>
  <cp:revision>1</cp:revision>
  <dcterms:created xsi:type="dcterms:W3CDTF">2025-08-27T09:00:00Z</dcterms:created>
  <dcterms:modified xsi:type="dcterms:W3CDTF">2025-08-27T09:02:00Z</dcterms:modified>
</cp:coreProperties>
</file>